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3644F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F446F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44322950" w:rsidR="00BB7846" w:rsidRDefault="005E64C6" w:rsidP="00F446F4">
      <w:pPr>
        <w:pStyle w:val="Prrafodelista"/>
        <w:numPr>
          <w:ilvl w:val="1"/>
          <w:numId w:val="2"/>
        </w:numPr>
        <w:jc w:val="both"/>
        <w:rPr>
          <w:rFonts w:cs="Arial"/>
          <w:color w:val="000000"/>
          <w:kern w:val="0"/>
          <w:lang w:val="es-MX" w:eastAsia="es-MX"/>
        </w:rPr>
      </w:pPr>
      <w:r w:rsidRPr="005E64C6">
        <w:rPr>
          <w:rFonts w:cs="Arial"/>
          <w:color w:val="000000"/>
          <w:kern w:val="0"/>
          <w:lang w:val="es-MX" w:eastAsia="es-MX"/>
        </w:rPr>
        <w:t>Definir las relaciones, lineamientos y control sobre el proveedor para poder cumplir con las necesidades de la Organización de una forma segura y confiable.</w:t>
      </w:r>
    </w:p>
    <w:p w14:paraId="4C4A4DFB" w14:textId="77777777" w:rsidR="005E64C6" w:rsidRPr="005E64C6" w:rsidRDefault="005E64C6" w:rsidP="00F446F4">
      <w:pPr>
        <w:pStyle w:val="Prrafodelista"/>
        <w:ind w:left="1080"/>
        <w:jc w:val="both"/>
        <w:rPr>
          <w:rFonts w:cs="Arial"/>
          <w:color w:val="000000"/>
          <w:kern w:val="0"/>
          <w:lang w:val="es-MX" w:eastAsia="es-MX"/>
        </w:rPr>
      </w:pPr>
    </w:p>
    <w:p w14:paraId="18AB005A" w14:textId="77777777" w:rsidR="001E29EA" w:rsidRDefault="00BB7846" w:rsidP="00F446F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5F08BECF" w14:textId="08F63932" w:rsidR="002920C3" w:rsidRPr="002920C3" w:rsidRDefault="002920C3" w:rsidP="00F446F4">
      <w:pPr>
        <w:pStyle w:val="Prrafodelista"/>
        <w:numPr>
          <w:ilvl w:val="1"/>
          <w:numId w:val="2"/>
        </w:numPr>
        <w:jc w:val="both"/>
        <w:rPr>
          <w:rFonts w:cs="Arial"/>
          <w:lang w:val="es-MX"/>
        </w:rPr>
      </w:pPr>
      <w:r w:rsidRPr="002920C3">
        <w:rPr>
          <w:rFonts w:cs="Arial"/>
          <w:lang w:val="es-MX"/>
        </w:rPr>
        <w:t>Este documento aplica para los posibles proveedores que tendrán una relación con el Monedero XIGA.</w:t>
      </w:r>
    </w:p>
    <w:p w14:paraId="7DECFF4B" w14:textId="77777777" w:rsidR="002920C3" w:rsidRPr="002920C3" w:rsidRDefault="002920C3" w:rsidP="00F446F4">
      <w:pPr>
        <w:pStyle w:val="Prrafodelista"/>
        <w:ind w:left="1080"/>
        <w:jc w:val="both"/>
        <w:rPr>
          <w:rFonts w:cs="Arial"/>
          <w:b/>
          <w:bCs/>
          <w:lang w:val="es-MX"/>
        </w:rPr>
      </w:pPr>
    </w:p>
    <w:p w14:paraId="03D40784" w14:textId="59E4B246" w:rsidR="00A418AC" w:rsidRPr="00A418AC" w:rsidRDefault="00BD7A76" w:rsidP="00F446F4">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78310F7E" w14:textId="77777777" w:rsidR="00A418AC" w:rsidRPr="00D55F70" w:rsidRDefault="00A418AC" w:rsidP="00F446F4">
      <w:pPr>
        <w:pStyle w:val="Prrafodelista"/>
        <w:numPr>
          <w:ilvl w:val="0"/>
          <w:numId w:val="13"/>
        </w:numPr>
        <w:jc w:val="both"/>
        <w:rPr>
          <w:rFonts w:cs="Arial"/>
          <w:b/>
          <w:bCs/>
          <w:lang w:val="es-MX"/>
        </w:rPr>
      </w:pPr>
      <w:r w:rsidRPr="00D55F70">
        <w:rPr>
          <w:rFonts w:cs="Arial"/>
          <w:b/>
          <w:bCs/>
          <w:lang w:val="es-MX"/>
        </w:rPr>
        <w:t>Definición de relaciones con proveedores.</w:t>
      </w:r>
    </w:p>
    <w:p w14:paraId="0D2C4BFD" w14:textId="77777777" w:rsidR="00A418AC" w:rsidRDefault="00A418AC" w:rsidP="00F446F4">
      <w:pPr>
        <w:pStyle w:val="Encabezado"/>
        <w:tabs>
          <w:tab w:val="clear" w:pos="4320"/>
          <w:tab w:val="clear" w:pos="8640"/>
        </w:tabs>
        <w:spacing w:beforeLines="50" w:before="120" w:afterLines="50" w:after="120"/>
        <w:ind w:left="1004"/>
        <w:jc w:val="both"/>
        <w:rPr>
          <w:rFonts w:cs="Arial"/>
          <w:b/>
          <w:bCs/>
          <w:lang w:val="es-MX"/>
        </w:rPr>
      </w:pPr>
      <w:r>
        <w:rPr>
          <w:rFonts w:cs="Arial"/>
          <w:b/>
          <w:bCs/>
          <w:lang w:val="es-MX"/>
        </w:rPr>
        <w:t>Glosario.</w:t>
      </w:r>
    </w:p>
    <w:p w14:paraId="776BDC15"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Relación con Proveedores:</w:t>
      </w:r>
      <w:r w:rsidRPr="00A418AC">
        <w:rPr>
          <w:rFonts w:cs="Arial"/>
          <w:lang w:val="es-MX"/>
        </w:rPr>
        <w:t xml:space="preserve"> Es un proceso de negocio encargado de administrar y sistematizar las interacciones con las empresas u organizaciones proveedoras. Marca un protocolo teórico y práctico que vincula estrechamente las relaciones con los proveedores, construyendo una relación sólida, transparente y de confianza. </w:t>
      </w:r>
    </w:p>
    <w:p w14:paraId="7FE71427"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Proveedor(es):</w:t>
      </w:r>
      <w:r w:rsidRPr="00A418AC">
        <w:rPr>
          <w:rFonts w:cs="Arial"/>
          <w:lang w:val="es-MX"/>
        </w:rPr>
        <w:t xml:space="preserve"> Persona o empresa que provee o abastece de todo lo necesario para un fin de la empresa reconocido también como abastecedor, provisor, suministrador, distribuidor, administrador o prestador del servicio.</w:t>
      </w:r>
    </w:p>
    <w:p w14:paraId="5EFD0631" w14:textId="2E8F1DF7" w:rsidR="00A418AC" w:rsidRPr="00A418AC" w:rsidRDefault="00A418AC" w:rsidP="003644FD">
      <w:pPr>
        <w:pStyle w:val="Encabezado"/>
        <w:numPr>
          <w:ilvl w:val="0"/>
          <w:numId w:val="15"/>
        </w:numPr>
        <w:spacing w:beforeLines="50" w:before="120" w:afterLines="50" w:after="120"/>
        <w:jc w:val="both"/>
        <w:rPr>
          <w:rFonts w:cs="Arial"/>
          <w:lang w:val="es-MX"/>
        </w:rPr>
      </w:pPr>
      <w:r w:rsidRPr="00A418AC">
        <w:rPr>
          <w:rFonts w:cs="Arial"/>
          <w:b/>
          <w:bCs/>
          <w:lang w:val="es-MX"/>
        </w:rPr>
        <w:t>Empresa:</w:t>
      </w:r>
      <w:r w:rsidRPr="00A418AC">
        <w:rPr>
          <w:rFonts w:cs="Arial"/>
          <w:lang w:val="es-MX"/>
        </w:rPr>
        <w:t xml:space="preserve"> Se reconocerá como tal a </w:t>
      </w:r>
      <w:r w:rsidR="003644FD" w:rsidRPr="003644FD">
        <w:rPr>
          <w:rFonts w:cs="Arial"/>
          <w:lang w:val="es-MX"/>
        </w:rPr>
        <w:t>XIGA Movilidad Inteligente, S.A. de C.V</w:t>
      </w:r>
      <w:r w:rsidRPr="00A418AC">
        <w:rPr>
          <w:rFonts w:cs="Arial"/>
          <w:lang w:val="es-MX"/>
        </w:rPr>
        <w:t>.</w:t>
      </w:r>
    </w:p>
    <w:p w14:paraId="2BE3608A"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Tercero:</w:t>
      </w:r>
      <w:r w:rsidRPr="00A418AC">
        <w:rPr>
          <w:rFonts w:cs="Arial"/>
          <w:lang w:val="es-MX"/>
        </w:rPr>
        <w:t xml:space="preserve"> Son aquellas personas naturales o jurídicas que no poseen vínculos de ninguna especie con las partes de un contrato comercial de productos o servicios, celebrado por la empresa con sus proveedores. Se trata de personas que tienen un interés autónomo al de las partes.</w:t>
      </w:r>
    </w:p>
    <w:p w14:paraId="4CFB66B3"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Evaluación de Proveedores:</w:t>
      </w:r>
      <w:r w:rsidRPr="00A418AC">
        <w:rPr>
          <w:rFonts w:cs="Arial"/>
          <w:lang w:val="es-MX"/>
        </w:rPr>
        <w:t xml:space="preserve"> Se trata del proceso establecido por la Gerencia de Compras, para evaluar, seleccionar y mantener una revisión exhaustiva de la documentación presentada por cada proveedor, verificando su validez y temas de cumplimiento de regulaciones institucionales o de parte de algunas autoridades como el SAT, durante la vida útil de la relación con ellos.</w:t>
      </w:r>
    </w:p>
    <w:p w14:paraId="639FAF53" w14:textId="77777777" w:rsid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Evaluación de desempeño:</w:t>
      </w:r>
      <w:r w:rsidRPr="00A418AC">
        <w:rPr>
          <w:rFonts w:cs="Arial"/>
          <w:lang w:val="es-MX"/>
        </w:rPr>
        <w:t xml:space="preserve"> Se trata de una actividad de control, en la que el responsable autorizado de haber solicitado, disfrutado del servicio y/o recibido los productos entregados por los proveedores, otorga una valuación cuantitativa y/o cualitativa. Esta opinión técnica, sirve de referencia a la Gerencia de Compras ya sea para aplicar sanciones establecidas por contrato o para considerar su permanencia en el catálogo de proveedores y en futuras contrataciones.</w:t>
      </w:r>
    </w:p>
    <w:p w14:paraId="394B71E7" w14:textId="77777777" w:rsidR="00131723" w:rsidRDefault="00131723" w:rsidP="00F446F4">
      <w:pPr>
        <w:pStyle w:val="Encabezado"/>
        <w:spacing w:beforeLines="50" w:before="120" w:afterLines="50" w:after="120"/>
        <w:ind w:left="1724"/>
        <w:jc w:val="both"/>
        <w:rPr>
          <w:rFonts w:cs="Arial"/>
          <w:lang w:val="es-MX"/>
        </w:rPr>
      </w:pPr>
    </w:p>
    <w:p w14:paraId="31C2CD2F" w14:textId="5525AFDA" w:rsidR="00A418AC" w:rsidRPr="00A418AC" w:rsidRDefault="00131723" w:rsidP="00F446F4">
      <w:pPr>
        <w:pStyle w:val="Encabezado"/>
        <w:spacing w:beforeLines="50" w:before="120" w:afterLines="50" w:after="120"/>
        <w:ind w:left="1724" w:hanging="731"/>
        <w:jc w:val="both"/>
        <w:rPr>
          <w:rFonts w:cs="Arial"/>
          <w:b/>
          <w:bCs/>
          <w:lang w:val="es-MX"/>
        </w:rPr>
      </w:pPr>
      <w:r w:rsidRPr="00131723">
        <w:rPr>
          <w:rFonts w:cs="Arial"/>
          <w:b/>
          <w:bCs/>
          <w:lang w:val="es-MX"/>
        </w:rPr>
        <w:t>Lineamientos Generales.</w:t>
      </w:r>
    </w:p>
    <w:p w14:paraId="63703B15" w14:textId="5FAE6814" w:rsidR="004A6302" w:rsidRDefault="00CD51FE" w:rsidP="00F446F4">
      <w:pPr>
        <w:pStyle w:val="Prrafodelista"/>
        <w:numPr>
          <w:ilvl w:val="1"/>
          <w:numId w:val="2"/>
        </w:numPr>
        <w:spacing w:before="60" w:after="60"/>
        <w:ind w:left="1276" w:hanging="556"/>
        <w:contextualSpacing w:val="0"/>
        <w:jc w:val="both"/>
        <w:rPr>
          <w:rFonts w:cs="Arial"/>
          <w:lang w:val="es-MX"/>
        </w:rPr>
      </w:pPr>
      <w:r w:rsidRPr="00CD51FE">
        <w:rPr>
          <w:rFonts w:cs="Arial"/>
          <w:lang w:val="es-MX"/>
        </w:rPr>
        <w:t>Se establecen las siguientes normas, para mantener un enfoque sistemático que permita evaluar a los proveedores que suministran los bienes materiales y/o servicios a la Empresa, determinando la contribución de cada uno de ellos al éxito de ésta y se permita el desarrollo de estrategias para mejorar su desempeño:</w:t>
      </w:r>
    </w:p>
    <w:p w14:paraId="268A5DAF" w14:textId="77777777" w:rsidR="007E64C2" w:rsidRDefault="007E64C2" w:rsidP="00F446F4">
      <w:pPr>
        <w:pStyle w:val="Prrafodelista"/>
        <w:spacing w:before="60" w:after="60"/>
        <w:ind w:left="1077"/>
        <w:contextualSpacing w:val="0"/>
        <w:jc w:val="both"/>
        <w:rPr>
          <w:rFonts w:cs="Arial"/>
          <w:lang w:val="es-MX"/>
        </w:rPr>
      </w:pPr>
    </w:p>
    <w:p w14:paraId="0D315E1F" w14:textId="0CA03F6E" w:rsidR="007E64C2" w:rsidRDefault="007E64C2" w:rsidP="00F446F4">
      <w:pPr>
        <w:pStyle w:val="Prrafodelista"/>
        <w:numPr>
          <w:ilvl w:val="0"/>
          <w:numId w:val="13"/>
        </w:numPr>
        <w:spacing w:beforeLines="60" w:before="144" w:afterLines="60" w:after="144"/>
        <w:ind w:hanging="357"/>
        <w:contextualSpacing w:val="0"/>
        <w:jc w:val="both"/>
        <w:rPr>
          <w:rFonts w:cs="Arial"/>
          <w:b/>
          <w:bCs/>
          <w:lang w:val="es-MX"/>
        </w:rPr>
      </w:pPr>
      <w:r w:rsidRPr="007E64C2">
        <w:rPr>
          <w:rFonts w:cs="Arial"/>
          <w:b/>
          <w:bCs/>
          <w:lang w:val="es-MX"/>
        </w:rPr>
        <w:t>Lineamientos para definir el alcance y objetivo de los acuerdos con proveedores.</w:t>
      </w:r>
    </w:p>
    <w:p w14:paraId="1B3DEE48"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Durante la contratación de un servicio provisto por un tercero, se deberá establecer de forma escrita y formal la responsabilidad del proveedor sobre la información de la empresa a que tengan acceso, almacenes o en su caso, requieran para la prestación del servicio.</w:t>
      </w:r>
    </w:p>
    <w:p w14:paraId="31EB1114"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Las responsabilidades del tercero se podrán incluir en el contrato de prestación de servicio o se podrá agregar como anexo de éste.</w:t>
      </w:r>
    </w:p>
    <w:p w14:paraId="21FB0CB3"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lastRenderedPageBreak/>
        <w:t>Todo proveedor de servicios debe contar con un contrato de prestación de servicios y un acuerdo de confidencialidad firmado previo al inicio de la prestación de servicios (el acuerdo de confidencialidad puede estar definido dentro del clausulado del contrato).</w:t>
      </w:r>
    </w:p>
    <w:p w14:paraId="3723001A"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Los contratos de prestación de servicios deberán ser revisados en conjunto con el departamento legal para asegurar que cumpla con todos los requisitos legales, regulatorios y de la Organización.</w:t>
      </w:r>
    </w:p>
    <w:p w14:paraId="54C7AD73"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Cláusulas de restricción para el copiado y acceso a la información.</w:t>
      </w:r>
    </w:p>
    <w:p w14:paraId="0B5603F9"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Cubrir los requerimientos para control de accesos y procedimientos de autorización para acceder a los activos de información de la empresa (tecnológicos e información).</w:t>
      </w:r>
    </w:p>
    <w:p w14:paraId="7DE33035"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Que se cuente con mecanismos para asegurar la protección de virus y código malicioso.</w:t>
      </w:r>
    </w:p>
    <w:p w14:paraId="0FBD6FC5"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La existencia de penalizaciones por incumplimiento a las políticas de seguridad.</w:t>
      </w:r>
    </w:p>
    <w:p w14:paraId="71759E9F"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Todos los servicios provistos por terceros podrán ser sujetos a auditoría por parte de un tercero contratado por la empresa o por parte del personal asignado por parte de ésta. Esto se deberá acordar durante la contratación del servicio y dejar formalmente estipulado dentro del contrato o en un anexo del mismo.</w:t>
      </w:r>
    </w:p>
    <w:p w14:paraId="48533398" w14:textId="77777777" w:rsid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Se deberá formar un comité para servicios que estén relacionados con la información sensible, para la evaluación de requerimiento y entrega del mismo.</w:t>
      </w:r>
    </w:p>
    <w:p w14:paraId="6A375C8F" w14:textId="77777777" w:rsidR="00A91244" w:rsidRDefault="00A91244" w:rsidP="00F446F4">
      <w:pPr>
        <w:pStyle w:val="Prrafodelista"/>
        <w:spacing w:beforeLines="60" w:before="144" w:afterLines="60" w:after="144"/>
        <w:ind w:left="1723"/>
        <w:contextualSpacing w:val="0"/>
        <w:jc w:val="both"/>
        <w:rPr>
          <w:rFonts w:cs="Arial"/>
          <w:lang w:val="es-MX"/>
        </w:rPr>
      </w:pPr>
    </w:p>
    <w:p w14:paraId="13452DDC" w14:textId="0DDF122D" w:rsidR="00F42335" w:rsidRPr="00A91244" w:rsidRDefault="00A91244" w:rsidP="00F446F4">
      <w:pPr>
        <w:pStyle w:val="Prrafodelista"/>
        <w:numPr>
          <w:ilvl w:val="0"/>
          <w:numId w:val="13"/>
        </w:numPr>
        <w:spacing w:beforeLines="60" w:before="144" w:afterLines="60" w:after="144"/>
        <w:contextualSpacing w:val="0"/>
        <w:jc w:val="both"/>
        <w:rPr>
          <w:rFonts w:cs="Arial"/>
          <w:b/>
          <w:bCs/>
          <w:lang w:val="es-MX"/>
        </w:rPr>
      </w:pPr>
      <w:r w:rsidRPr="00A91244">
        <w:rPr>
          <w:rFonts w:cs="Arial"/>
          <w:b/>
          <w:bCs/>
          <w:lang w:val="es-MX"/>
        </w:rPr>
        <w:t>Lineamientos para definir las condiciones de entrega de servicio de los proveedores.</w:t>
      </w:r>
    </w:p>
    <w:p w14:paraId="043A49C9" w14:textId="77777777" w:rsidR="00F47451" w:rsidRPr="00F47451" w:rsidRDefault="00F47451" w:rsidP="00F446F4">
      <w:pPr>
        <w:pStyle w:val="Prrafodelista"/>
        <w:numPr>
          <w:ilvl w:val="1"/>
          <w:numId w:val="2"/>
        </w:numPr>
        <w:spacing w:beforeLines="60" w:before="144" w:afterLines="60" w:after="144"/>
        <w:ind w:left="1276" w:hanging="553"/>
        <w:contextualSpacing w:val="0"/>
        <w:jc w:val="both"/>
        <w:rPr>
          <w:rFonts w:cs="Arial"/>
          <w:lang w:val="es-MX"/>
        </w:rPr>
      </w:pPr>
      <w:r w:rsidRPr="00F47451">
        <w:rPr>
          <w:rFonts w:cs="Arial"/>
          <w:lang w:val="es-MX"/>
        </w:rPr>
        <w:t>El responsable del área legal debe contar con una lista de todos los proveedores que tengan acceso, almacenen o tengan contacto con activos de información que incluyan datos sensibles y/o confidenciales.</w:t>
      </w:r>
    </w:p>
    <w:p w14:paraId="0FC4DF4C" w14:textId="21E3C13C" w:rsidR="00673A4C" w:rsidRDefault="00F47451" w:rsidP="00F446F4">
      <w:pPr>
        <w:pStyle w:val="Prrafodelista"/>
        <w:numPr>
          <w:ilvl w:val="1"/>
          <w:numId w:val="2"/>
        </w:numPr>
        <w:spacing w:beforeLines="60" w:before="144" w:afterLines="60" w:after="144"/>
        <w:ind w:left="1276" w:hanging="553"/>
        <w:contextualSpacing w:val="0"/>
        <w:jc w:val="both"/>
        <w:rPr>
          <w:rFonts w:cs="Arial"/>
          <w:lang w:val="es-MX"/>
        </w:rPr>
      </w:pPr>
      <w:r w:rsidRPr="00F47451">
        <w:rPr>
          <w:rFonts w:cs="Arial"/>
          <w:lang w:val="es-MX"/>
        </w:rPr>
        <w:t>Es responsabilidad del área de recepción del servicio, supervisar el cumplimiento del proveedor relacionado a los controles y/o requisitos legales, regulatorios o institucionales (Ej. SAT, políticas de la empresa, etc.) aplicables al producto o servicio proporcionado. Esto lo podrá evidenciar, citando de manera enunciativa los siguientes ejemplos:</w:t>
      </w:r>
    </w:p>
    <w:p w14:paraId="31A439BB" w14:textId="41CD4828" w:rsidR="00673A4C" w:rsidRP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Reportes de servicio.</w:t>
      </w:r>
    </w:p>
    <w:p w14:paraId="46B09DCB" w14:textId="3BDC65A9" w:rsidR="00673A4C" w:rsidRP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Registros de monitoreo del proveedor.</w:t>
      </w:r>
    </w:p>
    <w:p w14:paraId="70038743" w14:textId="305A41C8" w:rsidR="00673A4C" w:rsidRP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Registros de supervisiones realizadas al proveedor.</w:t>
      </w:r>
    </w:p>
    <w:p w14:paraId="6AAAE3CE" w14:textId="76CA7E45" w:rsid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Registros de auditorías realizadas al proveedor.</w:t>
      </w:r>
    </w:p>
    <w:p w14:paraId="1F472837" w14:textId="77777777" w:rsidR="002D1395" w:rsidRPr="00673A4C" w:rsidRDefault="002D1395" w:rsidP="00F446F4">
      <w:pPr>
        <w:pStyle w:val="Prrafodelista"/>
        <w:spacing w:beforeLines="60" w:before="144" w:afterLines="60" w:after="144"/>
        <w:ind w:left="1797"/>
        <w:contextualSpacing w:val="0"/>
        <w:jc w:val="both"/>
        <w:rPr>
          <w:rFonts w:cs="Arial"/>
          <w:lang w:val="es-MX"/>
        </w:rPr>
      </w:pPr>
    </w:p>
    <w:p w14:paraId="7DB8EEEF" w14:textId="6E9FD637" w:rsidR="00673A4C" w:rsidRPr="002D1395" w:rsidRDefault="002D1395" w:rsidP="00F446F4">
      <w:pPr>
        <w:pStyle w:val="Prrafodelista"/>
        <w:numPr>
          <w:ilvl w:val="0"/>
          <w:numId w:val="13"/>
        </w:numPr>
        <w:spacing w:before="60" w:after="60"/>
        <w:ind w:hanging="357"/>
        <w:contextualSpacing w:val="0"/>
        <w:jc w:val="both"/>
        <w:rPr>
          <w:rFonts w:cs="Arial"/>
          <w:b/>
          <w:bCs/>
          <w:lang w:val="es-MX"/>
        </w:rPr>
      </w:pPr>
      <w:r w:rsidRPr="002D1395">
        <w:rPr>
          <w:rFonts w:cs="Arial"/>
          <w:b/>
          <w:bCs/>
          <w:lang w:val="es-MX"/>
        </w:rPr>
        <w:t>Lineamientos para autorizar el acceso a la información de clientes.</w:t>
      </w:r>
    </w:p>
    <w:p w14:paraId="73E000F3" w14:textId="17776B22" w:rsidR="009E0A19" w:rsidRDefault="009E0A19" w:rsidP="00F446F4">
      <w:pPr>
        <w:pStyle w:val="Prrafodelista"/>
        <w:numPr>
          <w:ilvl w:val="1"/>
          <w:numId w:val="2"/>
        </w:numPr>
        <w:spacing w:before="60" w:after="60"/>
        <w:ind w:left="1276" w:hanging="553"/>
        <w:contextualSpacing w:val="0"/>
        <w:jc w:val="both"/>
        <w:rPr>
          <w:rFonts w:cs="Arial"/>
          <w:lang w:val="es-MX"/>
        </w:rPr>
      </w:pPr>
      <w:r w:rsidRPr="009E0A19">
        <w:rPr>
          <w:rFonts w:cs="Arial"/>
          <w:lang w:val="es-MX"/>
        </w:rPr>
        <w:t>En el establecimiento de contratos con proveedores se deberá contemplar lo siguiente según aplique:</w:t>
      </w:r>
    </w:p>
    <w:p w14:paraId="1C3550F4" w14:textId="64B833E3"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Cláusula o acuerdo que les obligue a la protección de la información de clientes, incluyendo procedimientos para proteger los bienes, tanto físicos, como de la información, el software e infraestructura.</w:t>
      </w:r>
    </w:p>
    <w:p w14:paraId="00EED290" w14:textId="1D706163"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Nivel de servicio esperado y niveles de servicio aceptables.</w:t>
      </w:r>
    </w:p>
    <w:p w14:paraId="4631B584" w14:textId="35FD847F"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Obligaciones de las partes emanadas del acuerdo y responsabilidades legales.</w:t>
      </w:r>
    </w:p>
    <w:p w14:paraId="275D6563" w14:textId="5948E231"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Definiciones relacionadas con la protección de datos.</w:t>
      </w:r>
    </w:p>
    <w:p w14:paraId="44C3AB68" w14:textId="3C93AEB7"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 xml:space="preserve">Acuerdos de control de accesos que contemplen: los métodos de acceso permitidos, el control y uso de identificadores únicos como identificadores de usuario y contraseñas de usuarios, proceso de </w:t>
      </w:r>
      <w:r w:rsidRPr="001511EE">
        <w:rPr>
          <w:rFonts w:cs="Arial"/>
          <w:lang w:val="es-MX"/>
        </w:rPr>
        <w:lastRenderedPageBreak/>
        <w:t>autorización de accesos y privilegios de usuarios, requerimientos para mantener actualizada una lista de individuos autorizados a utilizar los servicios que han de implementarse y sus derechos y privilegios con respecto a dicho uso y definición de mecanismos de protección, encriptación y salvaguardado.</w:t>
      </w:r>
    </w:p>
    <w:p w14:paraId="21939B5C" w14:textId="77777777"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Establecer un proceso para la resolución de problemas y en caso de corresponder disposiciones con relación a situaciones de contingencia.</w:t>
      </w:r>
    </w:p>
    <w:p w14:paraId="04168FB2" w14:textId="77777777" w:rsidR="009E0A19" w:rsidRPr="009E0A19" w:rsidRDefault="009E0A19" w:rsidP="00F446F4">
      <w:pPr>
        <w:pStyle w:val="Prrafodelista"/>
        <w:ind w:left="1800"/>
        <w:jc w:val="both"/>
        <w:rPr>
          <w:rFonts w:cs="Arial"/>
          <w:lang w:val="es-MX"/>
        </w:rPr>
      </w:pPr>
    </w:p>
    <w:p w14:paraId="12F681D2" w14:textId="2162060A" w:rsidR="004A6302" w:rsidRPr="00873D88" w:rsidRDefault="00E226F5" w:rsidP="00F446F4">
      <w:pPr>
        <w:pStyle w:val="Prrafodelista"/>
        <w:numPr>
          <w:ilvl w:val="0"/>
          <w:numId w:val="13"/>
        </w:numPr>
        <w:spacing w:beforeLines="60" w:before="144" w:afterLines="60" w:after="144"/>
        <w:contextualSpacing w:val="0"/>
        <w:jc w:val="both"/>
        <w:rPr>
          <w:rFonts w:cs="Arial"/>
          <w:b/>
          <w:bCs/>
          <w:lang w:val="es-MX"/>
        </w:rPr>
      </w:pPr>
      <w:r w:rsidRPr="00E226F5">
        <w:rPr>
          <w:rFonts w:cs="Arial"/>
          <w:b/>
          <w:bCs/>
          <w:lang w:val="es-MX"/>
        </w:rPr>
        <w:t>Controles de seguridad para los servicios.</w:t>
      </w:r>
    </w:p>
    <w:p w14:paraId="23BABC69" w14:textId="77777777" w:rsidR="00C9512E" w:rsidRPr="00C9512E" w:rsidRDefault="00C9512E" w:rsidP="00F446F4">
      <w:pPr>
        <w:pStyle w:val="Prrafodelista"/>
        <w:numPr>
          <w:ilvl w:val="1"/>
          <w:numId w:val="2"/>
        </w:numPr>
        <w:spacing w:beforeLines="60" w:before="144" w:afterLines="60" w:after="144"/>
        <w:ind w:left="1276" w:hanging="556"/>
        <w:contextualSpacing w:val="0"/>
        <w:jc w:val="both"/>
        <w:rPr>
          <w:rFonts w:cs="Arial"/>
          <w:lang w:val="es-MX"/>
        </w:rPr>
      </w:pPr>
      <w:r w:rsidRPr="00C9512E">
        <w:rPr>
          <w:rFonts w:cs="Arial"/>
          <w:lang w:val="es-MX"/>
        </w:rPr>
        <w:t xml:space="preserve">En los contratos que se establezcan con terceros, se debe incluir una cláusula de confidencialidad o, en su defecto, un convenio de confidencialidad a efecto de salvaguardar el uso de información sensible de la empresa. </w:t>
      </w:r>
    </w:p>
    <w:p w14:paraId="4DDADA44" w14:textId="77777777" w:rsidR="00C9512E" w:rsidRDefault="00C9512E" w:rsidP="00F446F4">
      <w:pPr>
        <w:pStyle w:val="Prrafodelista"/>
        <w:numPr>
          <w:ilvl w:val="1"/>
          <w:numId w:val="2"/>
        </w:numPr>
        <w:spacing w:before="60" w:after="60"/>
        <w:ind w:left="1276" w:hanging="556"/>
        <w:contextualSpacing w:val="0"/>
        <w:jc w:val="both"/>
        <w:rPr>
          <w:rFonts w:cs="Arial"/>
          <w:lang w:val="es-MX"/>
        </w:rPr>
      </w:pPr>
      <w:r w:rsidRPr="00C9512E">
        <w:rPr>
          <w:rFonts w:cs="Arial"/>
          <w:lang w:val="es-MX"/>
        </w:rPr>
        <w:t>La institución cuando así lo considere conveniente, debe poder supervisar, revisar o auditar la provisión de los servicios que ofrecen los terceros (cláusula de auditoría en los contratos). Los proveedores tienen la obligación de entregar a la empresa, oportunamente, la evidencia digital necesaria en caso de incidentes de seguridad o aquella que les sea requerida.</w:t>
      </w:r>
    </w:p>
    <w:p w14:paraId="2658BE8F" w14:textId="77777777" w:rsidR="00C9512E" w:rsidRDefault="00C9512E" w:rsidP="00F446F4">
      <w:pPr>
        <w:pStyle w:val="Prrafodelista"/>
        <w:spacing w:before="60" w:after="60"/>
        <w:ind w:left="1077"/>
        <w:contextualSpacing w:val="0"/>
        <w:jc w:val="both"/>
        <w:rPr>
          <w:rFonts w:cs="Arial"/>
          <w:lang w:val="es-MX"/>
        </w:rPr>
      </w:pPr>
    </w:p>
    <w:p w14:paraId="18810510" w14:textId="38C8FC24" w:rsidR="00C9512E" w:rsidRPr="00873D88" w:rsidRDefault="00873D88" w:rsidP="00F446F4">
      <w:pPr>
        <w:pStyle w:val="Prrafodelista"/>
        <w:numPr>
          <w:ilvl w:val="0"/>
          <w:numId w:val="13"/>
        </w:numPr>
        <w:spacing w:beforeLines="60" w:before="144" w:afterLines="60" w:after="144"/>
        <w:contextualSpacing w:val="0"/>
        <w:jc w:val="both"/>
        <w:rPr>
          <w:rFonts w:cs="Arial"/>
          <w:b/>
          <w:bCs/>
          <w:lang w:val="es-MX"/>
        </w:rPr>
      </w:pPr>
      <w:r w:rsidRPr="00873D88">
        <w:rPr>
          <w:rFonts w:cs="Arial"/>
          <w:b/>
          <w:bCs/>
          <w:lang w:val="es-MX"/>
        </w:rPr>
        <w:t>Inclusión de cláusula de auditoría para contratación de servicios con proveedores.</w:t>
      </w:r>
    </w:p>
    <w:p w14:paraId="0981B54B" w14:textId="1F60C24F" w:rsidR="00B73A17" w:rsidRPr="00B73A17" w:rsidRDefault="0095087F" w:rsidP="00F446F4">
      <w:pPr>
        <w:pStyle w:val="Prrafodelista"/>
        <w:numPr>
          <w:ilvl w:val="1"/>
          <w:numId w:val="2"/>
        </w:numPr>
        <w:spacing w:beforeLines="60" w:before="144" w:afterLines="60" w:after="144"/>
        <w:ind w:left="1077" w:hanging="357"/>
        <w:contextualSpacing w:val="0"/>
        <w:jc w:val="both"/>
        <w:rPr>
          <w:rFonts w:cs="Arial"/>
          <w:lang w:val="es-MX"/>
        </w:rPr>
      </w:pPr>
      <w:r w:rsidRPr="0095087F">
        <w:rPr>
          <w:rFonts w:cs="Arial"/>
          <w:lang w:val="es-MX"/>
        </w:rPr>
        <w:t>Se deberá incluir una cláusula que permita al Monedero XIGA realizar auditorías a los proveedores para verificar las condiciones de la prestación del servicio y/o producto. Principalmente se busca:</w:t>
      </w:r>
    </w:p>
    <w:p w14:paraId="35B72DBE" w14:textId="18890ACC" w:rsidR="00B73A17" w:rsidRPr="00B73A17" w:rsidRDefault="00B73A17" w:rsidP="00F446F4">
      <w:pPr>
        <w:pStyle w:val="Prrafodelista"/>
        <w:numPr>
          <w:ilvl w:val="0"/>
          <w:numId w:val="20"/>
        </w:numPr>
        <w:spacing w:beforeLines="60" w:before="144" w:afterLines="60" w:after="144"/>
        <w:contextualSpacing w:val="0"/>
        <w:jc w:val="both"/>
        <w:rPr>
          <w:rFonts w:cs="Arial"/>
          <w:lang w:val="es-MX"/>
        </w:rPr>
      </w:pPr>
      <w:r w:rsidRPr="00B73A17">
        <w:rPr>
          <w:rFonts w:cs="Arial"/>
          <w:lang w:val="es-MX"/>
        </w:rPr>
        <w:t>Medir cuantitativamente el desempeño, para que la toma de decisiones tenga la mayor objetividad posible.</w:t>
      </w:r>
    </w:p>
    <w:p w14:paraId="03170C46" w14:textId="5EEF38FF" w:rsidR="00AF45F1" w:rsidRPr="00B73A17" w:rsidRDefault="00B73A17" w:rsidP="00F446F4">
      <w:pPr>
        <w:pStyle w:val="Prrafodelista"/>
        <w:numPr>
          <w:ilvl w:val="0"/>
          <w:numId w:val="20"/>
        </w:numPr>
        <w:spacing w:beforeLines="60" w:before="144" w:afterLines="60" w:after="144"/>
        <w:contextualSpacing w:val="0"/>
        <w:jc w:val="both"/>
        <w:rPr>
          <w:rFonts w:cs="Arial"/>
          <w:lang w:val="es-MX"/>
        </w:rPr>
      </w:pPr>
      <w:r w:rsidRPr="00B73A17">
        <w:rPr>
          <w:rFonts w:cs="Arial"/>
          <w:lang w:val="es-MX"/>
        </w:rPr>
        <w:t>Considerar criterios adicionales a tener en cuenta en la selección de proveedores para la participación en peticiones de oferta.</w:t>
      </w:r>
    </w:p>
    <w:p w14:paraId="4609286D" w14:textId="77777777" w:rsidR="00AF45F1" w:rsidRDefault="00AF45F1" w:rsidP="00F446F4">
      <w:pPr>
        <w:pStyle w:val="Prrafodelista"/>
        <w:numPr>
          <w:ilvl w:val="1"/>
          <w:numId w:val="2"/>
        </w:numPr>
        <w:spacing w:beforeLines="60" w:before="144" w:afterLines="60" w:after="144"/>
        <w:ind w:hanging="357"/>
        <w:contextualSpacing w:val="0"/>
        <w:jc w:val="both"/>
        <w:rPr>
          <w:rFonts w:cs="Arial"/>
          <w:lang w:val="es-MX"/>
        </w:rPr>
      </w:pPr>
      <w:r w:rsidRPr="00AF45F1">
        <w:rPr>
          <w:rFonts w:cs="Arial"/>
          <w:lang w:val="es-MX"/>
        </w:rPr>
        <w:t>Momento de la auditoría.</w:t>
      </w:r>
    </w:p>
    <w:p w14:paraId="6A0EFA31" w14:textId="77777777" w:rsidR="00DB0582" w:rsidRPr="00DB0582" w:rsidRDefault="00DB0582" w:rsidP="00F446F4">
      <w:pPr>
        <w:pStyle w:val="Prrafodelista"/>
        <w:numPr>
          <w:ilvl w:val="0"/>
          <w:numId w:val="21"/>
        </w:numPr>
        <w:spacing w:before="60" w:after="60"/>
        <w:ind w:hanging="357"/>
        <w:contextualSpacing w:val="0"/>
        <w:jc w:val="both"/>
        <w:rPr>
          <w:rFonts w:cs="Arial"/>
          <w:lang w:val="es-MX"/>
        </w:rPr>
      </w:pPr>
      <w:r w:rsidRPr="00DB0582">
        <w:rPr>
          <w:rFonts w:cs="Arial"/>
          <w:lang w:val="es-MX"/>
        </w:rPr>
        <w:t>Se realiza en cualquier momento durante la vigencia del contrato entre la empresa y el proveedor y por un año posterior. La auditoría se realizará de conformidad con lo siguiente:</w:t>
      </w:r>
    </w:p>
    <w:p w14:paraId="0866D423" w14:textId="304AFEAC" w:rsidR="00FF4A84" w:rsidRPr="00FF4A84" w:rsidRDefault="00FF4A84" w:rsidP="00F446F4">
      <w:pPr>
        <w:pStyle w:val="Prrafodelista"/>
        <w:numPr>
          <w:ilvl w:val="0"/>
          <w:numId w:val="22"/>
        </w:numPr>
        <w:spacing w:beforeLines="60" w:before="144" w:afterLines="60" w:after="144"/>
        <w:ind w:hanging="357"/>
        <w:contextualSpacing w:val="0"/>
        <w:jc w:val="both"/>
        <w:rPr>
          <w:rFonts w:cs="Arial"/>
          <w:lang w:val="es-MX"/>
        </w:rPr>
      </w:pPr>
      <w:r w:rsidRPr="00FF4A84">
        <w:rPr>
          <w:rFonts w:cs="Arial"/>
          <w:lang w:val="es-MX"/>
        </w:rPr>
        <w:t>Podrá inspeccionar cualquier instalación que se use para los servicios aquí establecidos.</w:t>
      </w:r>
    </w:p>
    <w:p w14:paraId="2E2C6F34" w14:textId="41DCF98F" w:rsidR="00DB0582" w:rsidRDefault="00FF4A84" w:rsidP="00F446F4">
      <w:pPr>
        <w:pStyle w:val="Prrafodelista"/>
        <w:numPr>
          <w:ilvl w:val="0"/>
          <w:numId w:val="22"/>
        </w:numPr>
        <w:spacing w:beforeLines="60" w:before="144" w:afterLines="60" w:after="144"/>
        <w:ind w:hanging="357"/>
        <w:contextualSpacing w:val="0"/>
        <w:jc w:val="both"/>
        <w:rPr>
          <w:rFonts w:cs="Arial"/>
          <w:lang w:val="es-MX"/>
        </w:rPr>
      </w:pPr>
      <w:r w:rsidRPr="00FF4A84">
        <w:rPr>
          <w:rFonts w:cs="Arial"/>
          <w:lang w:val="es-MX"/>
        </w:rPr>
        <w:t>Podrá revisar y examinar cualquier procedimiento que use el proveedor en su desempeño de los servicios para la empresa, así como todos los datos generados de dicho desempeño, incluyendo los reportes escritos, reportes de auditoría, notas, programas, cintas de computadoras o producto similar de trabajo que pudiera documentar el trabajo realizado o de los resultados logrados.</w:t>
      </w:r>
    </w:p>
    <w:p w14:paraId="6E4B0CAB" w14:textId="05C8BAFB" w:rsidR="00FF4A84" w:rsidRPr="00C05F53" w:rsidRDefault="00C05F53" w:rsidP="00F446F4">
      <w:pPr>
        <w:pStyle w:val="Prrafodelista"/>
        <w:numPr>
          <w:ilvl w:val="0"/>
          <w:numId w:val="13"/>
        </w:numPr>
        <w:spacing w:beforeLines="60" w:before="144" w:after="60"/>
        <w:contextualSpacing w:val="0"/>
        <w:jc w:val="both"/>
        <w:rPr>
          <w:rFonts w:cs="Arial"/>
          <w:b/>
          <w:bCs/>
          <w:lang w:val="es-MX"/>
        </w:rPr>
      </w:pPr>
      <w:r w:rsidRPr="00C05F53">
        <w:rPr>
          <w:rFonts w:cs="Arial"/>
          <w:b/>
          <w:bCs/>
          <w:lang w:val="es-MX"/>
        </w:rPr>
        <w:t>Lineamientos para realizar cambios en las condiciones de entrega de servicios.</w:t>
      </w:r>
    </w:p>
    <w:p w14:paraId="537A6F8F" w14:textId="77777777" w:rsidR="00213079" w:rsidRPr="00213079" w:rsidRDefault="00213079" w:rsidP="00F446F4">
      <w:pPr>
        <w:pStyle w:val="Prrafodelista"/>
        <w:numPr>
          <w:ilvl w:val="1"/>
          <w:numId w:val="2"/>
        </w:numPr>
        <w:spacing w:beforeLines="60" w:before="144" w:after="60"/>
        <w:ind w:left="1276" w:hanging="556"/>
        <w:contextualSpacing w:val="0"/>
        <w:jc w:val="both"/>
        <w:rPr>
          <w:rFonts w:cs="Arial"/>
          <w:lang w:val="es-MX"/>
        </w:rPr>
      </w:pPr>
      <w:r w:rsidRPr="00213079">
        <w:rPr>
          <w:rFonts w:cs="Arial"/>
          <w:lang w:val="es-MX"/>
        </w:rPr>
        <w:t>Los cambios deben estar aprobados por el dueño del activo antes de su ejecución y deberán contar con la aprobación de la Gerencia de Tecnologías de la Información, antes de su liberación a producción, solo aplica si son cambios de tiempo y forma.</w:t>
      </w:r>
    </w:p>
    <w:p w14:paraId="1B169A1E" w14:textId="77777777" w:rsidR="00213079" w:rsidRPr="00213079" w:rsidRDefault="00213079" w:rsidP="00F446F4">
      <w:pPr>
        <w:pStyle w:val="Prrafodelista"/>
        <w:numPr>
          <w:ilvl w:val="1"/>
          <w:numId w:val="2"/>
        </w:numPr>
        <w:spacing w:beforeLines="60" w:before="144" w:after="60"/>
        <w:ind w:left="1276" w:hanging="556"/>
        <w:contextualSpacing w:val="0"/>
        <w:jc w:val="both"/>
        <w:rPr>
          <w:rFonts w:cs="Arial"/>
          <w:lang w:val="es-MX"/>
        </w:rPr>
      </w:pPr>
      <w:r w:rsidRPr="00213079">
        <w:rPr>
          <w:rFonts w:cs="Arial"/>
          <w:lang w:val="es-MX"/>
        </w:rPr>
        <w:t>Se deben gestionar los cambios en la provisión de los servicios, que están ofreciendo los proveedores, incluyendo el mantenimiento y la mejora de las políticas, los procedimientos y los controles de seguridad de la información existentes, teniendo en cuenta la criticidad de los procesos y sistemas de la empresa afectados, así como la reevaluación de los riesgos.</w:t>
      </w:r>
    </w:p>
    <w:p w14:paraId="4D232A38" w14:textId="77777777" w:rsidR="00213079" w:rsidRPr="00213079" w:rsidRDefault="00213079" w:rsidP="00F446F4">
      <w:pPr>
        <w:pStyle w:val="Prrafodelista"/>
        <w:numPr>
          <w:ilvl w:val="1"/>
          <w:numId w:val="2"/>
        </w:numPr>
        <w:spacing w:beforeLines="60" w:before="144" w:after="60"/>
        <w:ind w:left="1276" w:hanging="556"/>
        <w:contextualSpacing w:val="0"/>
        <w:jc w:val="both"/>
        <w:rPr>
          <w:rFonts w:cs="Arial"/>
          <w:lang w:val="es-MX"/>
        </w:rPr>
      </w:pPr>
      <w:r w:rsidRPr="00213079">
        <w:rPr>
          <w:rFonts w:cs="Arial"/>
          <w:lang w:val="es-MX"/>
        </w:rPr>
        <w:t>Los cambios mayores o de alto impacto deben ser evaluados y autorizados por el Comité de Cambios nombrado en la contratación del servicio.</w:t>
      </w:r>
    </w:p>
    <w:p w14:paraId="20713BDB" w14:textId="24397EDC" w:rsidR="00B73A17" w:rsidRDefault="00B73A17" w:rsidP="00F446F4">
      <w:pPr>
        <w:spacing w:beforeLines="60" w:before="144" w:after="60"/>
        <w:ind w:left="720"/>
        <w:jc w:val="both"/>
        <w:rPr>
          <w:rFonts w:cs="Arial"/>
          <w:lang w:val="es-MX"/>
        </w:rPr>
      </w:pPr>
    </w:p>
    <w:p w14:paraId="104F1152" w14:textId="76FD1FB7" w:rsidR="00213079" w:rsidRPr="00734FF5" w:rsidRDefault="00734FF5" w:rsidP="00F446F4">
      <w:pPr>
        <w:pStyle w:val="Prrafodelista"/>
        <w:numPr>
          <w:ilvl w:val="0"/>
          <w:numId w:val="13"/>
        </w:numPr>
        <w:spacing w:before="60" w:afterLines="60" w:after="144"/>
        <w:contextualSpacing w:val="0"/>
        <w:jc w:val="both"/>
        <w:rPr>
          <w:rFonts w:cs="Arial"/>
          <w:b/>
          <w:bCs/>
          <w:lang w:val="es-MX"/>
        </w:rPr>
      </w:pPr>
      <w:r w:rsidRPr="00734FF5">
        <w:rPr>
          <w:rFonts w:cs="Arial"/>
          <w:b/>
          <w:bCs/>
          <w:lang w:val="es-MX"/>
        </w:rPr>
        <w:t>Penalizaciones por incumplimiento de lo establecido en la política.</w:t>
      </w:r>
    </w:p>
    <w:p w14:paraId="5CE3AE75" w14:textId="77777777" w:rsidR="002D27A1" w:rsidRPr="002D27A1" w:rsidRDefault="002D27A1" w:rsidP="00F446F4">
      <w:pPr>
        <w:pStyle w:val="Prrafodelista"/>
        <w:numPr>
          <w:ilvl w:val="1"/>
          <w:numId w:val="2"/>
        </w:numPr>
        <w:spacing w:before="60" w:afterLines="60" w:after="144"/>
        <w:ind w:left="1276" w:hanging="556"/>
        <w:contextualSpacing w:val="0"/>
        <w:jc w:val="both"/>
        <w:rPr>
          <w:rFonts w:cs="Arial"/>
          <w:lang w:val="es-MX"/>
        </w:rPr>
      </w:pPr>
      <w:r w:rsidRPr="002D27A1">
        <w:rPr>
          <w:rFonts w:cs="Arial"/>
          <w:lang w:val="es-MX"/>
        </w:rPr>
        <w:t>Se deberá incluir en un documento y firmar por las personas facultadas, las penalizaciones cuando el proveedor no cumpla con los acuerdos en el alcance, objetivo, plan de trabajo o si como las condiciones de entrega.</w:t>
      </w:r>
    </w:p>
    <w:p w14:paraId="25A8B245" w14:textId="385A264E" w:rsidR="002D27A1" w:rsidRPr="002D27A1" w:rsidRDefault="002D27A1" w:rsidP="00F446F4">
      <w:pPr>
        <w:pStyle w:val="Prrafodelista"/>
        <w:numPr>
          <w:ilvl w:val="1"/>
          <w:numId w:val="2"/>
        </w:numPr>
        <w:spacing w:before="60" w:afterLines="60" w:after="144"/>
        <w:ind w:left="1276" w:hanging="556"/>
        <w:contextualSpacing w:val="0"/>
        <w:jc w:val="both"/>
        <w:rPr>
          <w:rFonts w:cs="Arial"/>
          <w:lang w:val="es-MX"/>
        </w:rPr>
      </w:pPr>
      <w:r w:rsidRPr="002D27A1">
        <w:rPr>
          <w:rFonts w:cs="Arial"/>
          <w:lang w:val="es-MX"/>
        </w:rPr>
        <w:t xml:space="preserve">Donde el proveedor faculta a </w:t>
      </w:r>
      <w:r w:rsidR="003644FD" w:rsidRPr="003644FD">
        <w:rPr>
          <w:rFonts w:cs="Arial"/>
          <w:lang w:val="es-MX"/>
        </w:rPr>
        <w:t>XIGA Movilidad Inteligente, S.A. de C.V</w:t>
      </w:r>
      <w:r w:rsidRPr="002D27A1">
        <w:rPr>
          <w:rFonts w:cs="Arial"/>
          <w:lang w:val="es-MX"/>
        </w:rPr>
        <w:t xml:space="preserve"> para exigir la ejecución forzosa o la rescisión del contrato, más el pago de una indemnización y el pago de los daños y perjuicios causados.</w:t>
      </w:r>
    </w:p>
    <w:p w14:paraId="776039FC" w14:textId="2405648A" w:rsidR="00B73A17" w:rsidRDefault="002D27A1" w:rsidP="00F446F4">
      <w:pPr>
        <w:pStyle w:val="Prrafodelista"/>
        <w:numPr>
          <w:ilvl w:val="1"/>
          <w:numId w:val="2"/>
        </w:numPr>
        <w:spacing w:before="60" w:afterLines="60" w:after="144"/>
        <w:ind w:left="1276" w:hanging="556"/>
        <w:contextualSpacing w:val="0"/>
        <w:jc w:val="both"/>
        <w:rPr>
          <w:rFonts w:cs="Arial"/>
          <w:lang w:val="es-MX"/>
        </w:rPr>
      </w:pPr>
      <w:r w:rsidRPr="002D27A1">
        <w:rPr>
          <w:rFonts w:cs="Arial"/>
          <w:lang w:val="es-MX"/>
        </w:rPr>
        <w:t>Lo anterior con la finalidad de compensar el incumplimiento, retraso o resolución contractual por parte del proveedor.</w:t>
      </w:r>
    </w:p>
    <w:p w14:paraId="78B0D8B6" w14:textId="77777777" w:rsidR="002D27A1" w:rsidRDefault="002D27A1" w:rsidP="00F446F4">
      <w:pPr>
        <w:pStyle w:val="Prrafodelista"/>
        <w:spacing w:beforeLines="60" w:before="144" w:afterLines="60" w:after="144"/>
        <w:ind w:left="1134"/>
        <w:jc w:val="both"/>
        <w:rPr>
          <w:rFonts w:cs="Arial"/>
          <w:lang w:val="es-MX"/>
        </w:rPr>
      </w:pPr>
    </w:p>
    <w:p w14:paraId="07EB6F10" w14:textId="5DA65D4F" w:rsidR="002D27A1" w:rsidRPr="00C63ADB" w:rsidRDefault="00C63ADB" w:rsidP="00F446F4">
      <w:pPr>
        <w:pStyle w:val="Prrafodelista"/>
        <w:numPr>
          <w:ilvl w:val="0"/>
          <w:numId w:val="13"/>
        </w:numPr>
        <w:spacing w:before="60" w:after="60"/>
        <w:ind w:hanging="357"/>
        <w:contextualSpacing w:val="0"/>
        <w:jc w:val="both"/>
        <w:rPr>
          <w:rFonts w:cs="Arial"/>
          <w:b/>
          <w:bCs/>
          <w:lang w:val="es-MX"/>
        </w:rPr>
      </w:pPr>
      <w:r w:rsidRPr="00C63ADB">
        <w:rPr>
          <w:rFonts w:cs="Arial"/>
          <w:b/>
          <w:bCs/>
          <w:lang w:val="es-MX"/>
        </w:rPr>
        <w:t>Lineamientos de atención a situaciones fortuitas.</w:t>
      </w:r>
    </w:p>
    <w:p w14:paraId="4E9905F2" w14:textId="77777777" w:rsidR="0090091B" w:rsidRDefault="0090091B" w:rsidP="00F446F4">
      <w:pPr>
        <w:pStyle w:val="Prrafodelista"/>
        <w:numPr>
          <w:ilvl w:val="1"/>
          <w:numId w:val="2"/>
        </w:numPr>
        <w:spacing w:before="60" w:after="60"/>
        <w:ind w:left="1276" w:hanging="553"/>
        <w:contextualSpacing w:val="0"/>
        <w:jc w:val="both"/>
        <w:rPr>
          <w:rFonts w:cs="Arial"/>
          <w:lang w:val="es-MX"/>
        </w:rPr>
      </w:pPr>
      <w:r w:rsidRPr="0090091B">
        <w:rPr>
          <w:rFonts w:cs="Arial"/>
          <w:lang w:val="es-MX"/>
        </w:rPr>
        <w:t>El caso de que se presente una situación completamente ajena a las partes y que impide el desarrollo de las labores acordadas en el contrato, se deberá de incluir en un documento donde se analice por ambas partes y hacer cambios de alcance, objetivo o plan de trabajo inicial.</w:t>
      </w:r>
    </w:p>
    <w:p w14:paraId="2B4F8006" w14:textId="77777777" w:rsidR="0090091B" w:rsidRPr="0090091B" w:rsidRDefault="0090091B" w:rsidP="00F446F4">
      <w:pPr>
        <w:pStyle w:val="Prrafodelista"/>
        <w:spacing w:before="60" w:after="60"/>
        <w:ind w:left="1080"/>
        <w:contextualSpacing w:val="0"/>
        <w:jc w:val="both"/>
        <w:rPr>
          <w:rFonts w:cs="Arial"/>
          <w:lang w:val="es-MX"/>
        </w:rPr>
      </w:pPr>
    </w:p>
    <w:p w14:paraId="20335460" w14:textId="2495E1FC" w:rsidR="00B73A17" w:rsidRPr="001D4668" w:rsidRDefault="001D4668" w:rsidP="00F446F4">
      <w:pPr>
        <w:pStyle w:val="Prrafodelista"/>
        <w:numPr>
          <w:ilvl w:val="0"/>
          <w:numId w:val="13"/>
        </w:numPr>
        <w:jc w:val="both"/>
        <w:rPr>
          <w:rFonts w:cs="Arial"/>
          <w:b/>
          <w:bCs/>
          <w:lang w:val="es-MX"/>
        </w:rPr>
      </w:pPr>
      <w:r w:rsidRPr="001D4668">
        <w:rPr>
          <w:rFonts w:cs="Arial"/>
          <w:b/>
          <w:bCs/>
          <w:lang w:val="es-MX"/>
        </w:rPr>
        <w:t>Control de versiones de la política (fecha, participantes, control de cambios).</w:t>
      </w:r>
    </w:p>
    <w:p w14:paraId="3EBFB207" w14:textId="77777777" w:rsidR="006D77BC" w:rsidRDefault="006D77BC" w:rsidP="00F446F4">
      <w:pPr>
        <w:pStyle w:val="Prrafodelista"/>
        <w:numPr>
          <w:ilvl w:val="1"/>
          <w:numId w:val="2"/>
        </w:numPr>
        <w:ind w:left="1276" w:hanging="556"/>
        <w:jc w:val="both"/>
        <w:rPr>
          <w:rFonts w:cs="Arial"/>
          <w:lang w:val="es-MX"/>
        </w:rPr>
      </w:pPr>
      <w:r w:rsidRPr="006D77BC">
        <w:rPr>
          <w:rFonts w:cs="Arial"/>
          <w:lang w:val="es-MX"/>
        </w:rPr>
        <w:t>Cada vez que se haga un cambio a la política de proveedores se deberá registrar la fecha del cambio al documento, nombrar las áreas y personas quienes participaron en el cambio, resumen del cambio hecho y firma por los involucrados.</w:t>
      </w:r>
    </w:p>
    <w:p w14:paraId="2635E32A" w14:textId="77777777" w:rsidR="005D6EE1" w:rsidRDefault="005D6EE1" w:rsidP="00F446F4">
      <w:pPr>
        <w:pStyle w:val="Prrafodelista"/>
        <w:ind w:left="1134"/>
        <w:jc w:val="both"/>
        <w:rPr>
          <w:rFonts w:cs="Arial"/>
          <w:lang w:val="es-MX"/>
        </w:rPr>
      </w:pPr>
    </w:p>
    <w:p w14:paraId="5B0E68C6" w14:textId="5DF64B96" w:rsidR="005D6EE1" w:rsidRPr="005D6EE1" w:rsidRDefault="005D6EE1" w:rsidP="00F446F4">
      <w:pPr>
        <w:pStyle w:val="Prrafodelista"/>
        <w:numPr>
          <w:ilvl w:val="0"/>
          <w:numId w:val="13"/>
        </w:numPr>
        <w:jc w:val="both"/>
        <w:rPr>
          <w:rFonts w:cs="Arial"/>
          <w:b/>
          <w:bCs/>
          <w:lang w:val="es-MX"/>
        </w:rPr>
      </w:pPr>
      <w:r w:rsidRPr="005D6EE1">
        <w:rPr>
          <w:rFonts w:cs="Arial"/>
          <w:b/>
          <w:bCs/>
          <w:lang w:val="es-MX"/>
        </w:rPr>
        <w:t>Periodicidad de revisión de la política.</w:t>
      </w:r>
    </w:p>
    <w:p w14:paraId="6579A617" w14:textId="77777777" w:rsidR="00220E7E" w:rsidRPr="00220E7E" w:rsidRDefault="00220E7E" w:rsidP="00F446F4">
      <w:pPr>
        <w:pStyle w:val="Prrafodelista"/>
        <w:numPr>
          <w:ilvl w:val="1"/>
          <w:numId w:val="2"/>
        </w:numPr>
        <w:spacing w:before="60" w:after="60"/>
        <w:ind w:left="1276" w:hanging="556"/>
        <w:contextualSpacing w:val="0"/>
        <w:jc w:val="both"/>
        <w:rPr>
          <w:rFonts w:cs="Arial"/>
          <w:lang w:val="es-MX"/>
        </w:rPr>
      </w:pPr>
      <w:r w:rsidRPr="00220E7E">
        <w:rPr>
          <w:rFonts w:cs="Arial"/>
          <w:lang w:val="es-MX"/>
        </w:rPr>
        <w:t>La política de proveedores se deberá revisar 1 vez al año y deberá ser firmada por las áreas, personas revisoras y personas facultadas.</w:t>
      </w:r>
    </w:p>
    <w:p w14:paraId="673EC1E7" w14:textId="3E7BC9A1" w:rsidR="00B73A17" w:rsidRDefault="00B73A17" w:rsidP="00220E7E">
      <w:pPr>
        <w:spacing w:beforeLines="60" w:before="144" w:afterLines="60" w:after="144"/>
        <w:jc w:val="both"/>
        <w:rPr>
          <w:rFonts w:cs="Arial"/>
          <w:lang w:val="es-MX"/>
        </w:rPr>
      </w:pPr>
    </w:p>
    <w:p w14:paraId="657C2786" w14:textId="77777777" w:rsidR="00220E7E" w:rsidRDefault="00220E7E" w:rsidP="00220E7E">
      <w:pPr>
        <w:spacing w:beforeLines="60" w:before="144" w:afterLines="60" w:after="144"/>
        <w:jc w:val="both"/>
        <w:rPr>
          <w:rFonts w:cs="Arial"/>
          <w:lang w:val="es-MX"/>
        </w:rPr>
      </w:pPr>
    </w:p>
    <w:p w14:paraId="4F31559E" w14:textId="77777777" w:rsidR="00220E7E" w:rsidRDefault="00220E7E" w:rsidP="00220E7E">
      <w:pPr>
        <w:spacing w:beforeLines="60" w:before="144" w:afterLines="60" w:after="144"/>
        <w:jc w:val="both"/>
        <w:rPr>
          <w:rFonts w:cs="Arial"/>
          <w:lang w:val="es-MX"/>
        </w:rPr>
      </w:pPr>
    </w:p>
    <w:p w14:paraId="69E7268D" w14:textId="77777777" w:rsidR="00220E7E" w:rsidRDefault="00220E7E" w:rsidP="00220E7E">
      <w:pPr>
        <w:spacing w:beforeLines="60" w:before="144" w:afterLines="60" w:after="144"/>
        <w:jc w:val="both"/>
        <w:rPr>
          <w:rFonts w:cs="Arial"/>
          <w:lang w:val="es-MX"/>
        </w:rPr>
      </w:pPr>
    </w:p>
    <w:p w14:paraId="2CF4514A" w14:textId="77777777" w:rsidR="00220E7E" w:rsidRDefault="00220E7E" w:rsidP="00220E7E">
      <w:pPr>
        <w:spacing w:beforeLines="60" w:before="144" w:afterLines="60" w:after="144"/>
        <w:jc w:val="both"/>
        <w:rPr>
          <w:rFonts w:cs="Arial"/>
          <w:lang w:val="es-MX"/>
        </w:rPr>
      </w:pPr>
    </w:p>
    <w:p w14:paraId="1BBC4CA4" w14:textId="77777777" w:rsidR="00220E7E" w:rsidRDefault="00220E7E" w:rsidP="00220E7E">
      <w:pPr>
        <w:spacing w:beforeLines="60" w:before="144" w:afterLines="60" w:after="144"/>
        <w:jc w:val="both"/>
        <w:rPr>
          <w:rFonts w:cs="Arial"/>
          <w:lang w:val="es-MX"/>
        </w:rPr>
      </w:pPr>
    </w:p>
    <w:p w14:paraId="7EEF2391" w14:textId="77777777" w:rsidR="00220E7E" w:rsidRDefault="00220E7E" w:rsidP="00220E7E">
      <w:pPr>
        <w:spacing w:beforeLines="60" w:before="144" w:afterLines="60" w:after="144"/>
        <w:jc w:val="both"/>
        <w:rPr>
          <w:rFonts w:cs="Arial"/>
          <w:lang w:val="es-MX"/>
        </w:rPr>
      </w:pPr>
    </w:p>
    <w:p w14:paraId="6F16381B" w14:textId="77777777" w:rsidR="00220E7E" w:rsidRPr="00220E7E" w:rsidRDefault="00220E7E" w:rsidP="00220E7E">
      <w:pPr>
        <w:spacing w:beforeLines="60" w:before="144" w:afterLines="60" w:after="144"/>
        <w:jc w:val="both"/>
        <w:rPr>
          <w:rFonts w:cs="Arial"/>
          <w:lang w:val="es-MX"/>
        </w:rPr>
      </w:pPr>
    </w:p>
    <w:p w14:paraId="4D64799B" w14:textId="1F129952" w:rsidR="00B73A17" w:rsidRPr="00220E7E" w:rsidRDefault="00B73A17" w:rsidP="00220E7E">
      <w:pPr>
        <w:spacing w:beforeLines="60" w:before="144" w:afterLines="60" w:after="144"/>
        <w:ind w:left="720"/>
        <w:jc w:val="both"/>
        <w:rPr>
          <w:rFonts w:cs="Arial"/>
          <w:lang w:val="es-MX"/>
        </w:rPr>
      </w:pPr>
    </w:p>
    <w:p w14:paraId="7D77D349" w14:textId="2BE09B46" w:rsidR="001511EE" w:rsidRDefault="001511EE" w:rsidP="00AF45F1">
      <w:pPr>
        <w:pStyle w:val="Prrafodelista"/>
        <w:spacing w:beforeLines="60" w:before="144" w:afterLines="60" w:after="144"/>
        <w:ind w:left="1077"/>
        <w:contextualSpacing w:val="0"/>
        <w:jc w:val="both"/>
        <w:rPr>
          <w:rFonts w:cs="Arial"/>
          <w:lang w:val="es-MX"/>
        </w:rPr>
      </w:pPr>
    </w:p>
    <w:p w14:paraId="274E57E1" w14:textId="77777777" w:rsidR="00CD51FE" w:rsidRPr="00CD51FE" w:rsidRDefault="00CD51FE" w:rsidP="00CD51FE">
      <w:pPr>
        <w:pStyle w:val="Prrafodelista"/>
        <w:spacing w:before="60" w:after="60"/>
        <w:ind w:left="1077"/>
        <w:contextualSpacing w:val="0"/>
        <w:jc w:val="both"/>
        <w:rPr>
          <w:rFonts w:cs="Arial"/>
          <w:lang w:val="es-MX"/>
        </w:rPr>
      </w:pPr>
    </w:p>
    <w:p w14:paraId="0B2C2559" w14:textId="77777777" w:rsidR="00D55F70" w:rsidRPr="000144E2" w:rsidRDefault="00D55F70" w:rsidP="00292A3D">
      <w:pPr>
        <w:pStyle w:val="Encabezado"/>
        <w:tabs>
          <w:tab w:val="clear" w:pos="4320"/>
          <w:tab w:val="clear" w:pos="8640"/>
        </w:tabs>
        <w:spacing w:beforeLines="50" w:before="120" w:afterLines="50" w:after="120"/>
        <w:jc w:val="both"/>
        <w:rPr>
          <w:rFonts w:cs="Arial"/>
          <w:b/>
          <w:bCs/>
          <w:lang w:val="es-MX"/>
        </w:rPr>
      </w:pPr>
    </w:p>
    <w:p w14:paraId="094807FB" w14:textId="1F7D4731" w:rsidR="00F61F05" w:rsidRDefault="00F61F05" w:rsidP="00F61F05">
      <w:pPr>
        <w:overflowPunct/>
        <w:autoSpaceDE/>
        <w:autoSpaceDN/>
        <w:adjustRightInd/>
        <w:spacing w:before="100" w:beforeAutospacing="1" w:after="240"/>
        <w:ind w:left="1276"/>
        <w:jc w:val="both"/>
        <w:textAlignment w:val="auto"/>
        <w:rPr>
          <w:lang w:val="es-MX"/>
        </w:rPr>
      </w:pPr>
    </w:p>
    <w:p w14:paraId="2420E08B" w14:textId="170864D6" w:rsidR="003644FD" w:rsidRDefault="003644FD" w:rsidP="00F61F05">
      <w:pPr>
        <w:overflowPunct/>
        <w:autoSpaceDE/>
        <w:autoSpaceDN/>
        <w:adjustRightInd/>
        <w:spacing w:before="100" w:beforeAutospacing="1" w:after="240"/>
        <w:ind w:left="1276"/>
        <w:jc w:val="both"/>
        <w:textAlignment w:val="auto"/>
        <w:rPr>
          <w:lang w:val="es-MX"/>
        </w:rPr>
      </w:pPr>
    </w:p>
    <w:p w14:paraId="381127E8" w14:textId="77777777" w:rsidR="003644FD" w:rsidRPr="00F61F05" w:rsidRDefault="003644FD" w:rsidP="00F61F05">
      <w:pPr>
        <w:overflowPunct/>
        <w:autoSpaceDE/>
        <w:autoSpaceDN/>
        <w:adjustRightInd/>
        <w:spacing w:before="100" w:beforeAutospacing="1" w:after="240"/>
        <w:ind w:left="1276"/>
        <w:jc w:val="both"/>
        <w:textAlignment w:val="auto"/>
        <w:rPr>
          <w:lang w:val="es-MX"/>
        </w:rPr>
      </w:pPr>
      <w:bookmarkStart w:id="0" w:name="_GoBack"/>
      <w:bookmarkEnd w:id="0"/>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0633250" w14:textId="475B38F5" w:rsidR="00220E7E" w:rsidRPr="00220E7E" w:rsidRDefault="00220E7E" w:rsidP="00220E7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20E7E">
        <w:rPr>
          <w:rFonts w:cs="Arial"/>
          <w:b/>
          <w:bCs/>
          <w:sz w:val="22"/>
          <w:szCs w:val="22"/>
          <w:lang w:val="es-MX"/>
        </w:rPr>
        <w:t>Anexos</w:t>
      </w:r>
    </w:p>
    <w:p w14:paraId="00D87D60" w14:textId="753F7AB7" w:rsidR="00220E7E" w:rsidRPr="00E8237D" w:rsidRDefault="00220E7E" w:rsidP="00220E7E">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220E7E"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F1399" w14:textId="77777777" w:rsidR="00675132" w:rsidRDefault="00675132">
      <w:r>
        <w:separator/>
      </w:r>
    </w:p>
  </w:endnote>
  <w:endnote w:type="continuationSeparator" w:id="0">
    <w:p w14:paraId="013C8D37" w14:textId="77777777" w:rsidR="00675132" w:rsidRDefault="0067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AF7A698"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3644FD">
            <w:rPr>
              <w:rStyle w:val="Nmerodepgina"/>
              <w:rFonts w:cs="Arial"/>
              <w:noProof/>
              <w:sz w:val="16"/>
            </w:rPr>
            <w:t>6</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3644FD">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3644FD"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38860FEA"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3644FD">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3644FD">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5BE8" w14:textId="77777777" w:rsidR="00675132" w:rsidRDefault="00675132">
      <w:r>
        <w:separator/>
      </w:r>
    </w:p>
  </w:footnote>
  <w:footnote w:type="continuationSeparator" w:id="0">
    <w:p w14:paraId="2B4966C1" w14:textId="77777777" w:rsidR="00675132" w:rsidRDefault="0067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675132">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3644FD"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675132"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675132">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3644F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A446AF2" w:rsidR="00F855EF" w:rsidRPr="00CA7845" w:rsidRDefault="003644FD" w:rsidP="00CA7845">
          <w:pPr>
            <w:overflowPunct/>
            <w:autoSpaceDE/>
            <w:autoSpaceDN/>
            <w:adjustRightInd/>
            <w:jc w:val="center"/>
            <w:textAlignment w:val="auto"/>
            <w:rPr>
              <w:color w:val="000000" w:themeColor="text1"/>
              <w:lang w:val="es-MX"/>
            </w:rPr>
          </w:pPr>
          <w:r w:rsidRPr="003644FD">
            <w:rPr>
              <w:color w:val="000000" w:themeColor="text1"/>
              <w:lang w:val="es-MX"/>
            </w:rPr>
            <w:t>XMI-A28-POL-24</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ED87B34" w:rsidR="00F855EF" w:rsidRPr="00CA7845" w:rsidRDefault="003644F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3644FD"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725A6D0" w:rsidR="00F855EF" w:rsidRPr="00CA7845" w:rsidRDefault="003644FD" w:rsidP="00872C12">
          <w:pPr>
            <w:jc w:val="center"/>
            <w:rPr>
              <w:color w:val="000000" w:themeColor="text1"/>
              <w:lang w:val="es-MX"/>
            </w:rPr>
          </w:pPr>
          <w:r w:rsidRPr="003644FD">
            <w:rPr>
              <w:color w:val="000000" w:themeColor="text1"/>
              <w:lang w:val="es-MX"/>
            </w:rPr>
            <w:t>Política de relación con proveedores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73AEE4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3644FD">
      <w:rPr>
        <w:b/>
        <w:color w:val="000000" w:themeColor="text1"/>
        <w:lang w:val="es-MX"/>
      </w:rPr>
      <w:t>55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9441D7E"/>
    <w:multiLevelType w:val="hybridMultilevel"/>
    <w:tmpl w:val="57DC069A"/>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 w15:restartNumberingAfterBreak="0">
    <w:nsid w:val="0A0D4E5B"/>
    <w:multiLevelType w:val="hybridMultilevel"/>
    <w:tmpl w:val="841EF40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0DA65A58"/>
    <w:multiLevelType w:val="hybridMultilevel"/>
    <w:tmpl w:val="5C78D4D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5" w15:restartNumberingAfterBreak="0">
    <w:nsid w:val="1E956814"/>
    <w:multiLevelType w:val="hybridMultilevel"/>
    <w:tmpl w:val="04744A8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0">
    <w:nsid w:val="1EC93858"/>
    <w:multiLevelType w:val="hybridMultilevel"/>
    <w:tmpl w:val="9030F980"/>
    <w:lvl w:ilvl="0" w:tplc="080A0001">
      <w:start w:val="1"/>
      <w:numFmt w:val="bullet"/>
      <w:lvlText w:val=""/>
      <w:lvlJc w:val="left"/>
      <w:pPr>
        <w:ind w:left="1797" w:hanging="360"/>
      </w:pPr>
      <w:rPr>
        <w:rFonts w:ascii="Symbol" w:hAnsi="Symbol" w:hint="default"/>
      </w:rPr>
    </w:lvl>
    <w:lvl w:ilvl="1" w:tplc="080A0003" w:tentative="1">
      <w:start w:val="1"/>
      <w:numFmt w:val="bullet"/>
      <w:lvlText w:val="o"/>
      <w:lvlJc w:val="left"/>
      <w:pPr>
        <w:ind w:left="2517" w:hanging="360"/>
      </w:pPr>
      <w:rPr>
        <w:rFonts w:ascii="Courier New" w:hAnsi="Courier New" w:cs="Courier New" w:hint="default"/>
      </w:rPr>
    </w:lvl>
    <w:lvl w:ilvl="2" w:tplc="080A0005" w:tentative="1">
      <w:start w:val="1"/>
      <w:numFmt w:val="bullet"/>
      <w:lvlText w:val=""/>
      <w:lvlJc w:val="left"/>
      <w:pPr>
        <w:ind w:left="3237" w:hanging="360"/>
      </w:pPr>
      <w:rPr>
        <w:rFonts w:ascii="Wingdings" w:hAnsi="Wingdings" w:hint="default"/>
      </w:rPr>
    </w:lvl>
    <w:lvl w:ilvl="3" w:tplc="080A0001" w:tentative="1">
      <w:start w:val="1"/>
      <w:numFmt w:val="bullet"/>
      <w:lvlText w:val=""/>
      <w:lvlJc w:val="left"/>
      <w:pPr>
        <w:ind w:left="3957" w:hanging="360"/>
      </w:pPr>
      <w:rPr>
        <w:rFonts w:ascii="Symbol" w:hAnsi="Symbol" w:hint="default"/>
      </w:rPr>
    </w:lvl>
    <w:lvl w:ilvl="4" w:tplc="080A0003" w:tentative="1">
      <w:start w:val="1"/>
      <w:numFmt w:val="bullet"/>
      <w:lvlText w:val="o"/>
      <w:lvlJc w:val="left"/>
      <w:pPr>
        <w:ind w:left="4677" w:hanging="360"/>
      </w:pPr>
      <w:rPr>
        <w:rFonts w:ascii="Courier New" w:hAnsi="Courier New" w:cs="Courier New" w:hint="default"/>
      </w:rPr>
    </w:lvl>
    <w:lvl w:ilvl="5" w:tplc="080A0005" w:tentative="1">
      <w:start w:val="1"/>
      <w:numFmt w:val="bullet"/>
      <w:lvlText w:val=""/>
      <w:lvlJc w:val="left"/>
      <w:pPr>
        <w:ind w:left="5397" w:hanging="360"/>
      </w:pPr>
      <w:rPr>
        <w:rFonts w:ascii="Wingdings" w:hAnsi="Wingdings" w:hint="default"/>
      </w:rPr>
    </w:lvl>
    <w:lvl w:ilvl="6" w:tplc="080A0001" w:tentative="1">
      <w:start w:val="1"/>
      <w:numFmt w:val="bullet"/>
      <w:lvlText w:val=""/>
      <w:lvlJc w:val="left"/>
      <w:pPr>
        <w:ind w:left="6117" w:hanging="360"/>
      </w:pPr>
      <w:rPr>
        <w:rFonts w:ascii="Symbol" w:hAnsi="Symbol" w:hint="default"/>
      </w:rPr>
    </w:lvl>
    <w:lvl w:ilvl="7" w:tplc="080A0003" w:tentative="1">
      <w:start w:val="1"/>
      <w:numFmt w:val="bullet"/>
      <w:lvlText w:val="o"/>
      <w:lvlJc w:val="left"/>
      <w:pPr>
        <w:ind w:left="6837" w:hanging="360"/>
      </w:pPr>
      <w:rPr>
        <w:rFonts w:ascii="Courier New" w:hAnsi="Courier New" w:cs="Courier New" w:hint="default"/>
      </w:rPr>
    </w:lvl>
    <w:lvl w:ilvl="8" w:tplc="080A0005" w:tentative="1">
      <w:start w:val="1"/>
      <w:numFmt w:val="bullet"/>
      <w:lvlText w:val=""/>
      <w:lvlJc w:val="left"/>
      <w:pPr>
        <w:ind w:left="7557" w:hanging="360"/>
      </w:pPr>
      <w:rPr>
        <w:rFonts w:ascii="Wingdings" w:hAnsi="Wingdings" w:hint="default"/>
      </w:rPr>
    </w:lvl>
  </w:abstractNum>
  <w:abstractNum w:abstractNumId="7" w15:restartNumberingAfterBreak="0">
    <w:nsid w:val="1F5E0307"/>
    <w:multiLevelType w:val="hybridMultilevel"/>
    <w:tmpl w:val="B07271B6"/>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 w15:restartNumberingAfterBreak="0">
    <w:nsid w:val="1F815FBD"/>
    <w:multiLevelType w:val="hybridMultilevel"/>
    <w:tmpl w:val="28C8C6F6"/>
    <w:lvl w:ilvl="0" w:tplc="080A0001">
      <w:start w:val="1"/>
      <w:numFmt w:val="bullet"/>
      <w:lvlText w:val=""/>
      <w:lvlJc w:val="left"/>
      <w:pPr>
        <w:ind w:left="1797" w:hanging="360"/>
      </w:pPr>
      <w:rPr>
        <w:rFonts w:ascii="Symbol" w:hAnsi="Symbol" w:hint="default"/>
      </w:rPr>
    </w:lvl>
    <w:lvl w:ilvl="1" w:tplc="080A0003" w:tentative="1">
      <w:start w:val="1"/>
      <w:numFmt w:val="bullet"/>
      <w:lvlText w:val="o"/>
      <w:lvlJc w:val="left"/>
      <w:pPr>
        <w:ind w:left="2517" w:hanging="360"/>
      </w:pPr>
      <w:rPr>
        <w:rFonts w:ascii="Courier New" w:hAnsi="Courier New" w:cs="Courier New" w:hint="default"/>
      </w:rPr>
    </w:lvl>
    <w:lvl w:ilvl="2" w:tplc="080A0005" w:tentative="1">
      <w:start w:val="1"/>
      <w:numFmt w:val="bullet"/>
      <w:lvlText w:val=""/>
      <w:lvlJc w:val="left"/>
      <w:pPr>
        <w:ind w:left="3237" w:hanging="360"/>
      </w:pPr>
      <w:rPr>
        <w:rFonts w:ascii="Wingdings" w:hAnsi="Wingdings" w:hint="default"/>
      </w:rPr>
    </w:lvl>
    <w:lvl w:ilvl="3" w:tplc="080A0001" w:tentative="1">
      <w:start w:val="1"/>
      <w:numFmt w:val="bullet"/>
      <w:lvlText w:val=""/>
      <w:lvlJc w:val="left"/>
      <w:pPr>
        <w:ind w:left="3957" w:hanging="360"/>
      </w:pPr>
      <w:rPr>
        <w:rFonts w:ascii="Symbol" w:hAnsi="Symbol" w:hint="default"/>
      </w:rPr>
    </w:lvl>
    <w:lvl w:ilvl="4" w:tplc="080A0003" w:tentative="1">
      <w:start w:val="1"/>
      <w:numFmt w:val="bullet"/>
      <w:lvlText w:val="o"/>
      <w:lvlJc w:val="left"/>
      <w:pPr>
        <w:ind w:left="4677" w:hanging="360"/>
      </w:pPr>
      <w:rPr>
        <w:rFonts w:ascii="Courier New" w:hAnsi="Courier New" w:cs="Courier New" w:hint="default"/>
      </w:rPr>
    </w:lvl>
    <w:lvl w:ilvl="5" w:tplc="080A0005" w:tentative="1">
      <w:start w:val="1"/>
      <w:numFmt w:val="bullet"/>
      <w:lvlText w:val=""/>
      <w:lvlJc w:val="left"/>
      <w:pPr>
        <w:ind w:left="5397" w:hanging="360"/>
      </w:pPr>
      <w:rPr>
        <w:rFonts w:ascii="Wingdings" w:hAnsi="Wingdings" w:hint="default"/>
      </w:rPr>
    </w:lvl>
    <w:lvl w:ilvl="6" w:tplc="080A0001" w:tentative="1">
      <w:start w:val="1"/>
      <w:numFmt w:val="bullet"/>
      <w:lvlText w:val=""/>
      <w:lvlJc w:val="left"/>
      <w:pPr>
        <w:ind w:left="6117" w:hanging="360"/>
      </w:pPr>
      <w:rPr>
        <w:rFonts w:ascii="Symbol" w:hAnsi="Symbol" w:hint="default"/>
      </w:rPr>
    </w:lvl>
    <w:lvl w:ilvl="7" w:tplc="080A0003" w:tentative="1">
      <w:start w:val="1"/>
      <w:numFmt w:val="bullet"/>
      <w:lvlText w:val="o"/>
      <w:lvlJc w:val="left"/>
      <w:pPr>
        <w:ind w:left="6837" w:hanging="360"/>
      </w:pPr>
      <w:rPr>
        <w:rFonts w:ascii="Courier New" w:hAnsi="Courier New" w:cs="Courier New" w:hint="default"/>
      </w:rPr>
    </w:lvl>
    <w:lvl w:ilvl="8" w:tplc="080A0005" w:tentative="1">
      <w:start w:val="1"/>
      <w:numFmt w:val="bullet"/>
      <w:lvlText w:val=""/>
      <w:lvlJc w:val="left"/>
      <w:pPr>
        <w:ind w:left="7557" w:hanging="360"/>
      </w:pPr>
      <w:rPr>
        <w:rFonts w:ascii="Wingdings" w:hAnsi="Wingdings" w:hint="default"/>
      </w:rPr>
    </w:lvl>
  </w:abstractNum>
  <w:abstractNum w:abstractNumId="9" w15:restartNumberingAfterBreak="0">
    <w:nsid w:val="29444654"/>
    <w:multiLevelType w:val="hybridMultilevel"/>
    <w:tmpl w:val="AFE0B7E8"/>
    <w:lvl w:ilvl="0" w:tplc="C3CCEF70">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57349D"/>
    <w:multiLevelType w:val="hybridMultilevel"/>
    <w:tmpl w:val="3F667C74"/>
    <w:lvl w:ilvl="0" w:tplc="080A0003">
      <w:start w:val="1"/>
      <w:numFmt w:val="bullet"/>
      <w:lvlText w:val="o"/>
      <w:lvlJc w:val="left"/>
      <w:pPr>
        <w:ind w:left="2520" w:hanging="360"/>
      </w:pPr>
      <w:rPr>
        <w:rFonts w:ascii="Courier New" w:hAnsi="Courier New" w:cs="Courier New"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2"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AF0125"/>
    <w:multiLevelType w:val="hybridMultilevel"/>
    <w:tmpl w:val="3292687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9" w15:restartNumberingAfterBreak="0">
    <w:nsid w:val="7549484F"/>
    <w:multiLevelType w:val="hybridMultilevel"/>
    <w:tmpl w:val="733C66E4"/>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18"/>
  </w:num>
  <w:num w:numId="3">
    <w:abstractNumId w:val="10"/>
  </w:num>
  <w:num w:numId="4">
    <w:abstractNumId w:val="12"/>
  </w:num>
  <w:num w:numId="5">
    <w:abstractNumId w:val="16"/>
  </w:num>
  <w:num w:numId="6">
    <w:abstractNumId w:val="0"/>
  </w:num>
  <w:num w:numId="7">
    <w:abstractNumId w:val="14"/>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9"/>
  </w:num>
  <w:num w:numId="14">
    <w:abstractNumId w:val="7"/>
  </w:num>
  <w:num w:numId="15">
    <w:abstractNumId w:val="4"/>
  </w:num>
  <w:num w:numId="16">
    <w:abstractNumId w:val="6"/>
  </w:num>
  <w:num w:numId="17">
    <w:abstractNumId w:val="5"/>
  </w:num>
  <w:num w:numId="18">
    <w:abstractNumId w:val="2"/>
  </w:num>
  <w:num w:numId="19">
    <w:abstractNumId w:val="17"/>
  </w:num>
  <w:num w:numId="20">
    <w:abstractNumId w:val="8"/>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44E2"/>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1723"/>
    <w:rsid w:val="00135DCC"/>
    <w:rsid w:val="001413A4"/>
    <w:rsid w:val="0014480E"/>
    <w:rsid w:val="0014576B"/>
    <w:rsid w:val="001460C0"/>
    <w:rsid w:val="00150E69"/>
    <w:rsid w:val="001511EE"/>
    <w:rsid w:val="00152EC3"/>
    <w:rsid w:val="00154B4C"/>
    <w:rsid w:val="00155B09"/>
    <w:rsid w:val="00164324"/>
    <w:rsid w:val="0016754A"/>
    <w:rsid w:val="0018335F"/>
    <w:rsid w:val="001903DD"/>
    <w:rsid w:val="001932C1"/>
    <w:rsid w:val="001A16B4"/>
    <w:rsid w:val="001B4601"/>
    <w:rsid w:val="001B7B90"/>
    <w:rsid w:val="001C0BC5"/>
    <w:rsid w:val="001C140D"/>
    <w:rsid w:val="001C4E00"/>
    <w:rsid w:val="001D0FF8"/>
    <w:rsid w:val="001D4668"/>
    <w:rsid w:val="001E1F80"/>
    <w:rsid w:val="001E29EA"/>
    <w:rsid w:val="001E32A6"/>
    <w:rsid w:val="001E4545"/>
    <w:rsid w:val="001E6B0E"/>
    <w:rsid w:val="001F0F80"/>
    <w:rsid w:val="001F40A9"/>
    <w:rsid w:val="0020328A"/>
    <w:rsid w:val="00205B65"/>
    <w:rsid w:val="0020677D"/>
    <w:rsid w:val="00213079"/>
    <w:rsid w:val="00217410"/>
    <w:rsid w:val="00217C28"/>
    <w:rsid w:val="00220E7E"/>
    <w:rsid w:val="00224EF9"/>
    <w:rsid w:val="00226116"/>
    <w:rsid w:val="00226A22"/>
    <w:rsid w:val="00230AE5"/>
    <w:rsid w:val="00241F90"/>
    <w:rsid w:val="002514C1"/>
    <w:rsid w:val="0025730C"/>
    <w:rsid w:val="00257B47"/>
    <w:rsid w:val="002638EA"/>
    <w:rsid w:val="00270562"/>
    <w:rsid w:val="002728CA"/>
    <w:rsid w:val="00276D35"/>
    <w:rsid w:val="00282023"/>
    <w:rsid w:val="002920C3"/>
    <w:rsid w:val="00292A3D"/>
    <w:rsid w:val="002A3ADB"/>
    <w:rsid w:val="002A3B57"/>
    <w:rsid w:val="002A5D3B"/>
    <w:rsid w:val="002B044E"/>
    <w:rsid w:val="002B6DDE"/>
    <w:rsid w:val="002C1238"/>
    <w:rsid w:val="002C4B4A"/>
    <w:rsid w:val="002D0C21"/>
    <w:rsid w:val="002D1395"/>
    <w:rsid w:val="002D27A1"/>
    <w:rsid w:val="002D7291"/>
    <w:rsid w:val="002E1657"/>
    <w:rsid w:val="002E18FA"/>
    <w:rsid w:val="002E6345"/>
    <w:rsid w:val="002E6C23"/>
    <w:rsid w:val="002F5B99"/>
    <w:rsid w:val="002F7090"/>
    <w:rsid w:val="003136E3"/>
    <w:rsid w:val="0031400A"/>
    <w:rsid w:val="00314F30"/>
    <w:rsid w:val="003152C9"/>
    <w:rsid w:val="00327582"/>
    <w:rsid w:val="003317E4"/>
    <w:rsid w:val="00334AF0"/>
    <w:rsid w:val="003472A3"/>
    <w:rsid w:val="003474D0"/>
    <w:rsid w:val="00355A3E"/>
    <w:rsid w:val="003644FD"/>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A6302"/>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D6EE1"/>
    <w:rsid w:val="005E2E22"/>
    <w:rsid w:val="005E64C6"/>
    <w:rsid w:val="005F5C37"/>
    <w:rsid w:val="006010A7"/>
    <w:rsid w:val="00603733"/>
    <w:rsid w:val="006056EC"/>
    <w:rsid w:val="00607CA3"/>
    <w:rsid w:val="00613937"/>
    <w:rsid w:val="006147E4"/>
    <w:rsid w:val="00615329"/>
    <w:rsid w:val="00621C09"/>
    <w:rsid w:val="00630E32"/>
    <w:rsid w:val="00634225"/>
    <w:rsid w:val="00636E43"/>
    <w:rsid w:val="00637C9D"/>
    <w:rsid w:val="00651E6D"/>
    <w:rsid w:val="0065360F"/>
    <w:rsid w:val="006619C4"/>
    <w:rsid w:val="0066466C"/>
    <w:rsid w:val="00673A4C"/>
    <w:rsid w:val="0067415E"/>
    <w:rsid w:val="00674A11"/>
    <w:rsid w:val="00675132"/>
    <w:rsid w:val="00682ED1"/>
    <w:rsid w:val="006865B4"/>
    <w:rsid w:val="00687986"/>
    <w:rsid w:val="00694AA3"/>
    <w:rsid w:val="006A1258"/>
    <w:rsid w:val="006A7149"/>
    <w:rsid w:val="006B5D74"/>
    <w:rsid w:val="006C1404"/>
    <w:rsid w:val="006C1A94"/>
    <w:rsid w:val="006D4211"/>
    <w:rsid w:val="006D77BC"/>
    <w:rsid w:val="006E4CB2"/>
    <w:rsid w:val="006F6A78"/>
    <w:rsid w:val="007009B6"/>
    <w:rsid w:val="00704F15"/>
    <w:rsid w:val="00712727"/>
    <w:rsid w:val="00712958"/>
    <w:rsid w:val="00713F41"/>
    <w:rsid w:val="00720799"/>
    <w:rsid w:val="00726EA1"/>
    <w:rsid w:val="00730B1E"/>
    <w:rsid w:val="00734FF5"/>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64C2"/>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3D88"/>
    <w:rsid w:val="008742CA"/>
    <w:rsid w:val="00883B87"/>
    <w:rsid w:val="0088473B"/>
    <w:rsid w:val="0088643B"/>
    <w:rsid w:val="008B7B08"/>
    <w:rsid w:val="008C14D0"/>
    <w:rsid w:val="008C4B3C"/>
    <w:rsid w:val="008D527B"/>
    <w:rsid w:val="008E3DBF"/>
    <w:rsid w:val="0090091B"/>
    <w:rsid w:val="00917D38"/>
    <w:rsid w:val="00921C73"/>
    <w:rsid w:val="009376F0"/>
    <w:rsid w:val="00944F55"/>
    <w:rsid w:val="0095087F"/>
    <w:rsid w:val="00964163"/>
    <w:rsid w:val="00967599"/>
    <w:rsid w:val="00967BC0"/>
    <w:rsid w:val="0097281E"/>
    <w:rsid w:val="009774FF"/>
    <w:rsid w:val="009A0276"/>
    <w:rsid w:val="009A14E3"/>
    <w:rsid w:val="009B6690"/>
    <w:rsid w:val="009C104C"/>
    <w:rsid w:val="009C107D"/>
    <w:rsid w:val="009D1B55"/>
    <w:rsid w:val="009D7D7E"/>
    <w:rsid w:val="009E0A19"/>
    <w:rsid w:val="009F5738"/>
    <w:rsid w:val="00A04073"/>
    <w:rsid w:val="00A106F0"/>
    <w:rsid w:val="00A26CA4"/>
    <w:rsid w:val="00A37248"/>
    <w:rsid w:val="00A418AC"/>
    <w:rsid w:val="00A535B7"/>
    <w:rsid w:val="00A53CEE"/>
    <w:rsid w:val="00A7339B"/>
    <w:rsid w:val="00A824FE"/>
    <w:rsid w:val="00A837E5"/>
    <w:rsid w:val="00A83CA1"/>
    <w:rsid w:val="00A8694F"/>
    <w:rsid w:val="00A91244"/>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AF45F1"/>
    <w:rsid w:val="00B145B0"/>
    <w:rsid w:val="00B33B2C"/>
    <w:rsid w:val="00B37873"/>
    <w:rsid w:val="00B438AE"/>
    <w:rsid w:val="00B4697C"/>
    <w:rsid w:val="00B46F1A"/>
    <w:rsid w:val="00B50A17"/>
    <w:rsid w:val="00B54B15"/>
    <w:rsid w:val="00B54C64"/>
    <w:rsid w:val="00B6429D"/>
    <w:rsid w:val="00B65394"/>
    <w:rsid w:val="00B66EB0"/>
    <w:rsid w:val="00B73A17"/>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05F53"/>
    <w:rsid w:val="00C108C6"/>
    <w:rsid w:val="00C15ACA"/>
    <w:rsid w:val="00C27F9A"/>
    <w:rsid w:val="00C3554C"/>
    <w:rsid w:val="00C57311"/>
    <w:rsid w:val="00C63ADB"/>
    <w:rsid w:val="00C7394E"/>
    <w:rsid w:val="00C77FED"/>
    <w:rsid w:val="00C92727"/>
    <w:rsid w:val="00C9512E"/>
    <w:rsid w:val="00CA7845"/>
    <w:rsid w:val="00CB190A"/>
    <w:rsid w:val="00CB2F92"/>
    <w:rsid w:val="00CB49BF"/>
    <w:rsid w:val="00CB6A3B"/>
    <w:rsid w:val="00CC329C"/>
    <w:rsid w:val="00CD3DE0"/>
    <w:rsid w:val="00CD51F5"/>
    <w:rsid w:val="00CD51FE"/>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55F70"/>
    <w:rsid w:val="00D605B5"/>
    <w:rsid w:val="00D620DA"/>
    <w:rsid w:val="00D64941"/>
    <w:rsid w:val="00D64E17"/>
    <w:rsid w:val="00DB0582"/>
    <w:rsid w:val="00DB7BED"/>
    <w:rsid w:val="00DD3404"/>
    <w:rsid w:val="00DD4CBF"/>
    <w:rsid w:val="00DE6715"/>
    <w:rsid w:val="00DE79C3"/>
    <w:rsid w:val="00DF18CB"/>
    <w:rsid w:val="00DF25D6"/>
    <w:rsid w:val="00DF4895"/>
    <w:rsid w:val="00DF4E5A"/>
    <w:rsid w:val="00E07551"/>
    <w:rsid w:val="00E10C98"/>
    <w:rsid w:val="00E225F6"/>
    <w:rsid w:val="00E226F5"/>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42335"/>
    <w:rsid w:val="00F446F4"/>
    <w:rsid w:val="00F47451"/>
    <w:rsid w:val="00F610C0"/>
    <w:rsid w:val="00F61F05"/>
    <w:rsid w:val="00F64DC3"/>
    <w:rsid w:val="00F652F4"/>
    <w:rsid w:val="00F660ED"/>
    <w:rsid w:val="00F7134D"/>
    <w:rsid w:val="00F855EF"/>
    <w:rsid w:val="00F8751B"/>
    <w:rsid w:val="00F92BF2"/>
    <w:rsid w:val="00FA7C4B"/>
    <w:rsid w:val="00FB1053"/>
    <w:rsid w:val="00FB249F"/>
    <w:rsid w:val="00FC17C9"/>
    <w:rsid w:val="00FE06A2"/>
    <w:rsid w:val="00FF4A84"/>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1665</Words>
  <Characters>9160</Characters>
  <Application>Microsoft Office Word</Application>
  <DocSecurity>0</DocSecurity>
  <PresentationFormat/>
  <Lines>76</Lines>
  <Paragraphs>21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44</cp:revision>
  <cp:lastPrinted>2025-09-11T19:01:00Z</cp:lastPrinted>
  <dcterms:created xsi:type="dcterms:W3CDTF">2025-11-03T20:15:00Z</dcterms:created>
  <dcterms:modified xsi:type="dcterms:W3CDTF">2025-11-20T01:16:00Z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